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828"/>
        <w:gridCol w:w="3452"/>
        <w:gridCol w:w="1519"/>
        <w:gridCol w:w="3799"/>
      </w:tblGrid>
      <w:tr w:rsidR="00557B5F" w:rsidTr="00B86C68">
        <w:tc>
          <w:tcPr>
            <w:tcW w:w="10598" w:type="dxa"/>
            <w:gridSpan w:val="4"/>
          </w:tcPr>
          <w:p w:rsidR="00B86C68" w:rsidRDefault="0086413F" w:rsidP="00D953B7">
            <w:pPr>
              <w:jc w:val="center"/>
              <w:rPr>
                <w:color w:val="C00000"/>
                <w:sz w:val="40"/>
                <w:szCs w:val="56"/>
              </w:rPr>
            </w:pPr>
            <w:r w:rsidRPr="00815AAA">
              <w:rPr>
                <w:color w:val="C00000"/>
                <w:sz w:val="40"/>
                <w:szCs w:val="56"/>
              </w:rPr>
              <w:t>Séance essais d’écriture : commande de mots</w:t>
            </w:r>
          </w:p>
          <w:p w:rsidR="00815AAA" w:rsidRPr="00815AAA" w:rsidRDefault="00815AAA" w:rsidP="00D953B7">
            <w:pPr>
              <w:jc w:val="center"/>
              <w:rPr>
                <w:rFonts w:cs="Arial"/>
                <w:color w:val="C00000"/>
                <w:sz w:val="14"/>
                <w:szCs w:val="20"/>
              </w:rPr>
            </w:pPr>
          </w:p>
          <w:p w:rsidR="00B86C68" w:rsidRPr="00DB743E" w:rsidRDefault="00B86C68" w:rsidP="00B86C68">
            <w:pPr>
              <w:jc w:val="both"/>
              <w:rPr>
                <w:rFonts w:ascii="Calibri Light" w:hAnsi="Calibri Light" w:cs="Calibri Light"/>
                <w:sz w:val="20"/>
              </w:rPr>
            </w:pPr>
            <w:r w:rsidRPr="00DB743E">
              <w:rPr>
                <w:rFonts w:ascii="Calibri Light" w:hAnsi="Calibri Light" w:cs="Calibri Light"/>
                <w:sz w:val="20"/>
                <w:u w:val="single"/>
              </w:rPr>
              <w:t>Attendus de fin de cycle</w:t>
            </w:r>
            <w:r w:rsidRPr="00DB743E">
              <w:rPr>
                <w:rFonts w:ascii="Calibri Light" w:hAnsi="Calibri Light" w:cs="Calibri Light"/>
                <w:sz w:val="20"/>
              </w:rPr>
              <w:t> :</w:t>
            </w:r>
          </w:p>
          <w:p w:rsidR="00D953B7" w:rsidRPr="00DB743E" w:rsidRDefault="00815AAA" w:rsidP="00815AAA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      </w:t>
            </w:r>
            <w:r w:rsidR="00C822EC" w:rsidRPr="00DB743E">
              <w:rPr>
                <w:rFonts w:ascii="Calibri Light" w:hAnsi="Calibri Light" w:cs="Calibri Light"/>
                <w:sz w:val="20"/>
              </w:rPr>
              <w:t>Discriminer des sons (syllabes, sons-voyelles ; quelques sons-consonnes hors des consonnes occlusives).</w:t>
            </w:r>
          </w:p>
          <w:p w:rsidR="00C822EC" w:rsidRPr="00DB743E" w:rsidRDefault="00815AAA" w:rsidP="00815AAA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      </w:t>
            </w:r>
            <w:r w:rsidR="00C822EC" w:rsidRPr="00DB743E">
              <w:rPr>
                <w:rFonts w:ascii="Calibri Light" w:hAnsi="Calibri Light" w:cs="Calibri Light"/>
                <w:sz w:val="20"/>
              </w:rPr>
              <w:t>Écrire seul un mot en utilisant des lettres ou groupes de lettres empruntés aux mots connus.</w:t>
            </w:r>
          </w:p>
          <w:p w:rsidR="00D953B7" w:rsidRPr="00DB743E" w:rsidRDefault="00D953B7" w:rsidP="00D953B7">
            <w:pPr>
              <w:jc w:val="both"/>
              <w:rPr>
                <w:rFonts w:ascii="Calibri Light" w:hAnsi="Calibri Light" w:cs="Calibri Light"/>
                <w:sz w:val="20"/>
              </w:rPr>
            </w:pPr>
            <w:r w:rsidRPr="00DB743E">
              <w:rPr>
                <w:rFonts w:ascii="Calibri Light" w:hAnsi="Calibri Light" w:cs="Calibri Light"/>
                <w:sz w:val="20"/>
                <w:u w:val="single"/>
              </w:rPr>
              <w:t>Objectif</w:t>
            </w:r>
            <w:r w:rsidR="00DB743E">
              <w:rPr>
                <w:rFonts w:ascii="Calibri Light" w:hAnsi="Calibri Light" w:cs="Calibri Light"/>
                <w:sz w:val="20"/>
                <w:u w:val="single"/>
              </w:rPr>
              <w:t>s</w:t>
            </w:r>
            <w:r w:rsidRPr="00DB743E">
              <w:rPr>
                <w:rFonts w:ascii="Calibri Light" w:hAnsi="Calibri Light" w:cs="Calibri Light"/>
                <w:sz w:val="20"/>
                <w:u w:val="single"/>
              </w:rPr>
              <w:t> :</w:t>
            </w:r>
          </w:p>
          <w:p w:rsidR="000F0658" w:rsidRPr="00DB743E" w:rsidRDefault="00815AAA" w:rsidP="00815AAA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       </w:t>
            </w:r>
            <w:r w:rsidR="00DB743E">
              <w:rPr>
                <w:rFonts w:ascii="Calibri Light" w:hAnsi="Calibri Light" w:cs="Calibri Light"/>
                <w:sz w:val="20"/>
              </w:rPr>
              <w:t>É</w:t>
            </w:r>
            <w:r w:rsidR="0086413F" w:rsidRPr="00DB743E">
              <w:rPr>
                <w:rFonts w:ascii="Calibri Light" w:hAnsi="Calibri Light" w:cs="Calibri Light"/>
                <w:sz w:val="20"/>
              </w:rPr>
              <w:t>crire un mot en mobilisant des stratégies</w:t>
            </w:r>
            <w:r w:rsidR="00DB743E">
              <w:rPr>
                <w:rFonts w:ascii="Calibri Light" w:hAnsi="Calibri Light" w:cs="Calibri Light"/>
                <w:sz w:val="20"/>
              </w:rPr>
              <w:t xml:space="preserve"> </w:t>
            </w:r>
            <w:r w:rsidR="007F2519">
              <w:rPr>
                <w:rFonts w:ascii="Calibri Light" w:hAnsi="Calibri Light" w:cs="Calibri Light"/>
                <w:sz w:val="20"/>
              </w:rPr>
              <w:t>portant sur le lien oral-écrit.</w:t>
            </w:r>
          </w:p>
          <w:p w:rsidR="0086413F" w:rsidRPr="00DB743E" w:rsidRDefault="00815AAA" w:rsidP="00815AAA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       </w:t>
            </w:r>
            <w:r w:rsidR="0086413F" w:rsidRPr="00DB743E">
              <w:rPr>
                <w:rFonts w:ascii="Calibri Light" w:hAnsi="Calibri Light" w:cs="Calibri Light"/>
                <w:sz w:val="20"/>
              </w:rPr>
              <w:t>Travailler le lien oral/écrit au travers des relations simples phonèmes-&gt; graphèmes (correspondant à une lettre).</w:t>
            </w:r>
          </w:p>
          <w:p w:rsidR="000F0658" w:rsidRPr="00DB743E" w:rsidRDefault="000F0658" w:rsidP="000F0658">
            <w:pPr>
              <w:rPr>
                <w:rFonts w:ascii="Calibri Light" w:hAnsi="Calibri Light" w:cs="Calibri Light"/>
                <w:sz w:val="20"/>
                <w:u w:val="single"/>
              </w:rPr>
            </w:pPr>
            <w:r w:rsidRPr="00DB743E">
              <w:rPr>
                <w:rFonts w:ascii="Calibri Light" w:hAnsi="Calibri Light" w:cs="Calibri Light"/>
                <w:sz w:val="20"/>
                <w:u w:val="single"/>
              </w:rPr>
              <w:t xml:space="preserve">Pré-requis : </w:t>
            </w:r>
          </w:p>
          <w:p w:rsidR="000F0658" w:rsidRPr="00815AAA" w:rsidRDefault="00815AAA" w:rsidP="00815AAA">
            <w:pPr>
              <w:rPr>
                <w:sz w:val="56"/>
                <w:szCs w:val="56"/>
                <w:u w:val="single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      </w:t>
            </w:r>
            <w:r w:rsidR="0086413F" w:rsidRPr="00815AAA">
              <w:rPr>
                <w:rFonts w:ascii="Calibri Light" w:hAnsi="Calibri Light" w:cs="Calibri Light"/>
                <w:sz w:val="20"/>
              </w:rPr>
              <w:t xml:space="preserve">Avoir travaillé sur le nom et le son de lettres, être attentif aux sonorités des mots, isoler des unités sonores de la </w:t>
            </w:r>
            <w:proofErr w:type="gramStart"/>
            <w:r w:rsidR="0086413F" w:rsidRPr="00815AAA">
              <w:rPr>
                <w:rFonts w:ascii="Calibri Light" w:hAnsi="Calibri Light" w:cs="Calibri Light"/>
                <w:sz w:val="20"/>
              </w:rPr>
              <w:t xml:space="preserve">langue, </w:t>
            </w:r>
            <w:r>
              <w:rPr>
                <w:rFonts w:ascii="Calibri Light" w:hAnsi="Calibri Light" w:cs="Calibri Light"/>
                <w:sz w:val="20"/>
              </w:rPr>
              <w:t xml:space="preserve">  </w:t>
            </w:r>
            <w:proofErr w:type="gramEnd"/>
            <w:r w:rsidR="0086413F" w:rsidRPr="00815AAA">
              <w:rPr>
                <w:rFonts w:ascii="Calibri Light" w:hAnsi="Calibri Light" w:cs="Calibri Light"/>
                <w:sz w:val="20"/>
              </w:rPr>
              <w:t>tracer des lettres</w:t>
            </w:r>
            <w:r w:rsidR="001C15D7" w:rsidRPr="00815AAA">
              <w:rPr>
                <w:rFonts w:ascii="Calibri Light" w:hAnsi="Calibri Light" w:cs="Calibri Light"/>
                <w:sz w:val="20"/>
              </w:rPr>
              <w:t>, avoir travaillé sur un référent alphabet, connaître la comptine de l’alphabet et pointer les lettres en synchronisant chaîne orale et chaîne écrite</w:t>
            </w:r>
            <w:r w:rsidR="007F2519">
              <w:rPr>
                <w:rFonts w:ascii="Calibri Light" w:hAnsi="Calibri Light" w:cs="Calibri Light"/>
                <w:sz w:val="20"/>
              </w:rPr>
              <w:t xml:space="preserve"> pour s’en servir.</w:t>
            </w:r>
          </w:p>
          <w:p w:rsidR="00815AAA" w:rsidRDefault="00815AAA" w:rsidP="00815AAA">
            <w:pPr>
              <w:rPr>
                <w:sz w:val="20"/>
                <w:szCs w:val="56"/>
              </w:rPr>
            </w:pPr>
            <w:r w:rsidRPr="00815AAA">
              <w:rPr>
                <w:sz w:val="20"/>
                <w:szCs w:val="56"/>
                <w:u w:val="single"/>
              </w:rPr>
              <w:t>Différenciation </w:t>
            </w:r>
            <w:r>
              <w:rPr>
                <w:sz w:val="20"/>
                <w:szCs w:val="56"/>
                <w:u w:val="single"/>
              </w:rPr>
              <w:t xml:space="preserve">en fonction des problématiques </w:t>
            </w:r>
            <w:r w:rsidRPr="00815AAA">
              <w:rPr>
                <w:sz w:val="20"/>
                <w:szCs w:val="56"/>
                <w:u w:val="single"/>
              </w:rPr>
              <w:t>:</w:t>
            </w:r>
            <w:r w:rsidRPr="00815AAA">
              <w:rPr>
                <w:sz w:val="20"/>
                <w:szCs w:val="56"/>
              </w:rPr>
              <w:t xml:space="preserve"> </w:t>
            </w:r>
            <w:r>
              <w:rPr>
                <w:sz w:val="20"/>
                <w:szCs w:val="56"/>
              </w:rPr>
              <w:t xml:space="preserve"> </w:t>
            </w:r>
            <w:r w:rsidRPr="00815AAA">
              <w:rPr>
                <w:sz w:val="20"/>
                <w:szCs w:val="56"/>
              </w:rPr>
              <w:t xml:space="preserve">lettres mobiles, </w:t>
            </w:r>
            <w:r>
              <w:rPr>
                <w:sz w:val="20"/>
                <w:szCs w:val="56"/>
              </w:rPr>
              <w:t>planification du travail avec l’enfant,</w:t>
            </w:r>
            <w:r w:rsidRPr="00815AAA">
              <w:rPr>
                <w:sz w:val="20"/>
                <w:szCs w:val="56"/>
              </w:rPr>
              <w:t xml:space="preserve"> ensemble de lettres </w:t>
            </w:r>
            <w:r>
              <w:rPr>
                <w:sz w:val="20"/>
                <w:szCs w:val="56"/>
              </w:rPr>
              <w:t>restreint…</w:t>
            </w:r>
          </w:p>
          <w:p w:rsidR="00815AAA" w:rsidRPr="00815AAA" w:rsidRDefault="00815AAA" w:rsidP="00815AAA">
            <w:pPr>
              <w:rPr>
                <w:sz w:val="14"/>
                <w:szCs w:val="56"/>
              </w:rPr>
            </w:pPr>
          </w:p>
        </w:tc>
      </w:tr>
      <w:tr w:rsidR="009A2C4F" w:rsidTr="002C70E3">
        <w:trPr>
          <w:trHeight w:val="308"/>
        </w:trPr>
        <w:tc>
          <w:tcPr>
            <w:tcW w:w="1828" w:type="dxa"/>
          </w:tcPr>
          <w:p w:rsidR="00557B5F" w:rsidRPr="00557B5F" w:rsidRDefault="00557B5F" w:rsidP="009A2C4F">
            <w:pPr>
              <w:rPr>
                <w:b/>
                <w:i/>
              </w:rPr>
            </w:pPr>
            <w:r w:rsidRPr="00557B5F">
              <w:rPr>
                <w:b/>
                <w:i/>
              </w:rPr>
              <w:t>Séance</w:t>
            </w:r>
            <w:r w:rsidR="00D953B7">
              <w:rPr>
                <w:b/>
                <w:i/>
              </w:rPr>
              <w:t xml:space="preserve"> 30’</w:t>
            </w:r>
            <w:r w:rsidR="00D953B7">
              <w:t xml:space="preserve"> </w:t>
            </w:r>
          </w:p>
        </w:tc>
        <w:tc>
          <w:tcPr>
            <w:tcW w:w="3452" w:type="dxa"/>
          </w:tcPr>
          <w:p w:rsidR="00557B5F" w:rsidRPr="00557B5F" w:rsidRDefault="00D953B7" w:rsidP="00557B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Capacités/Attitudes</w:t>
            </w:r>
            <w:r w:rsidR="0086413F">
              <w:rPr>
                <w:b/>
                <w:i/>
              </w:rPr>
              <w:t>/Connaissances</w:t>
            </w:r>
          </w:p>
        </w:tc>
        <w:tc>
          <w:tcPr>
            <w:tcW w:w="1519" w:type="dxa"/>
          </w:tcPr>
          <w:p w:rsidR="00557B5F" w:rsidRPr="00557B5F" w:rsidRDefault="0086413F" w:rsidP="00557B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Organisation</w:t>
            </w:r>
          </w:p>
        </w:tc>
        <w:tc>
          <w:tcPr>
            <w:tcW w:w="3799" w:type="dxa"/>
          </w:tcPr>
          <w:p w:rsidR="00557B5F" w:rsidRPr="00557B5F" w:rsidRDefault="00557B5F" w:rsidP="00557B5F">
            <w:pPr>
              <w:jc w:val="center"/>
              <w:rPr>
                <w:b/>
                <w:i/>
              </w:rPr>
            </w:pPr>
            <w:r w:rsidRPr="00557B5F">
              <w:rPr>
                <w:b/>
                <w:i/>
              </w:rPr>
              <w:t>Déroulement</w:t>
            </w:r>
            <w:r w:rsidR="00D953B7">
              <w:rPr>
                <w:b/>
                <w:i/>
              </w:rPr>
              <w:t xml:space="preserve"> général </w:t>
            </w:r>
          </w:p>
        </w:tc>
      </w:tr>
      <w:tr w:rsidR="009A2C4F" w:rsidTr="002C70E3">
        <w:trPr>
          <w:trHeight w:val="1038"/>
        </w:trPr>
        <w:tc>
          <w:tcPr>
            <w:tcW w:w="1828" w:type="dxa"/>
          </w:tcPr>
          <w:p w:rsidR="00D953B7" w:rsidRDefault="0086413F" w:rsidP="00D953B7">
            <w:r>
              <w:t>Phase 1 : mise en projet</w:t>
            </w:r>
            <w:r w:rsidR="009A2C4F">
              <w:t xml:space="preserve"> </w:t>
            </w:r>
            <w:r w:rsidR="009A2C4F">
              <w:sym w:font="Wingdings" w:char="F0E0"/>
            </w:r>
            <w:r w:rsidR="009A2C4F">
              <w:t xml:space="preserve"> commande de mots</w:t>
            </w:r>
          </w:p>
        </w:tc>
        <w:tc>
          <w:tcPr>
            <w:tcW w:w="3452" w:type="dxa"/>
          </w:tcPr>
          <w:p w:rsidR="00557B5F" w:rsidRDefault="00DB743E" w:rsidP="005A162A">
            <w:r>
              <w:t>Ê</w:t>
            </w:r>
            <w:r w:rsidR="0086413F">
              <w:t>tre à l’écoute</w:t>
            </w:r>
          </w:p>
          <w:p w:rsidR="0086413F" w:rsidRDefault="009A2C4F" w:rsidP="009A2C4F">
            <w:r>
              <w:t>Comprendre un message oral</w:t>
            </w:r>
          </w:p>
          <w:p w:rsidR="009A2C4F" w:rsidRDefault="007F2519" w:rsidP="009A2C4F">
            <w:r>
              <w:t>Se mettre en projet</w:t>
            </w:r>
          </w:p>
        </w:tc>
        <w:tc>
          <w:tcPr>
            <w:tcW w:w="1519" w:type="dxa"/>
          </w:tcPr>
          <w:p w:rsidR="00557B5F" w:rsidRDefault="0086413F" w:rsidP="005A162A">
            <w:r>
              <w:t>Groupe classe</w:t>
            </w:r>
          </w:p>
        </w:tc>
        <w:tc>
          <w:tcPr>
            <w:tcW w:w="3799" w:type="dxa"/>
          </w:tcPr>
          <w:p w:rsidR="00557B5F" w:rsidRDefault="009A2C4F" w:rsidP="00FC01DB">
            <w:r>
              <w:t xml:space="preserve">Présenter le projet : écriture de prénoms </w:t>
            </w:r>
            <w:r w:rsidR="007F2519">
              <w:t>pour (projet)/d’un mot pour (projet).</w:t>
            </w:r>
          </w:p>
          <w:p w:rsidR="009A2C4F" w:rsidRDefault="009A2C4F" w:rsidP="00FC01DB"/>
        </w:tc>
      </w:tr>
      <w:tr w:rsidR="009A2C4F" w:rsidTr="002C70E3">
        <w:trPr>
          <w:trHeight w:val="1750"/>
        </w:trPr>
        <w:tc>
          <w:tcPr>
            <w:tcW w:w="1828" w:type="dxa"/>
          </w:tcPr>
          <w:p w:rsidR="00FC01DB" w:rsidRDefault="009A2C4F" w:rsidP="006E704B">
            <w:r>
              <w:t>Phase 2 : mise en évidence d’éléments de la démarche pour écrire des mots.</w:t>
            </w:r>
          </w:p>
        </w:tc>
        <w:tc>
          <w:tcPr>
            <w:tcW w:w="3452" w:type="dxa"/>
          </w:tcPr>
          <w:p w:rsidR="00FC01DB" w:rsidRDefault="009A2C4F" w:rsidP="006E704B">
            <w:r>
              <w:t>Identifier des stratégies mobilisées dans les activités d’écriture déjà menées précédemment</w:t>
            </w:r>
          </w:p>
        </w:tc>
        <w:tc>
          <w:tcPr>
            <w:tcW w:w="1519" w:type="dxa"/>
          </w:tcPr>
          <w:p w:rsidR="00FC01DB" w:rsidRDefault="009A2C4F" w:rsidP="006E704B">
            <w:r>
              <w:t>Groupe classe</w:t>
            </w:r>
          </w:p>
        </w:tc>
        <w:tc>
          <w:tcPr>
            <w:tcW w:w="3799" w:type="dxa"/>
          </w:tcPr>
          <w:p w:rsidR="00FC01DB" w:rsidRDefault="009A2C4F" w:rsidP="000F0658">
            <w:r>
              <w:t>Que doit-on faire lorsque l’on veut écrire un mot ?</w:t>
            </w:r>
          </w:p>
          <w:p w:rsidR="009A2C4F" w:rsidRDefault="009A2C4F" w:rsidP="000F0658">
            <w:r>
              <w:t xml:space="preserve">Partir des stratégies proposées par les enfants. </w:t>
            </w:r>
          </w:p>
          <w:p w:rsidR="009A2C4F" w:rsidRPr="00FC01DB" w:rsidRDefault="009A2C4F" w:rsidP="000F0658">
            <w:r>
              <w:t>Compléter : bien écouter les mots, les sons de ces mots, prolonger les sons pour aider l’identification des sons, trouver les lettres qui chantent les sons, les tracer</w:t>
            </w:r>
            <w:r w:rsidR="001C15D7">
              <w:t xml:space="preserve"> dans le bon ordre</w:t>
            </w:r>
            <w:r w:rsidR="00DB743E">
              <w:t>, prélever des syllabes dans des mots connus</w:t>
            </w:r>
          </w:p>
        </w:tc>
      </w:tr>
      <w:tr w:rsidR="009A2C4F" w:rsidTr="002C70E3">
        <w:trPr>
          <w:trHeight w:val="1750"/>
        </w:trPr>
        <w:tc>
          <w:tcPr>
            <w:tcW w:w="1828" w:type="dxa"/>
          </w:tcPr>
          <w:p w:rsidR="009A2C4F" w:rsidRDefault="009A2C4F" w:rsidP="000F0658">
            <w:r>
              <w:t>Phase 3 : réactivation des connaissances noms/sons des lettres</w:t>
            </w:r>
          </w:p>
        </w:tc>
        <w:tc>
          <w:tcPr>
            <w:tcW w:w="3452" w:type="dxa"/>
          </w:tcPr>
          <w:p w:rsidR="000F0658" w:rsidRPr="007F2519" w:rsidRDefault="009A2C4F" w:rsidP="006E704B">
            <w:pPr>
              <w:rPr>
                <w:rFonts w:cstheme="minorHAnsi"/>
                <w:sz w:val="20"/>
                <w:szCs w:val="20"/>
              </w:rPr>
            </w:pPr>
            <w:r w:rsidRPr="007F2519">
              <w:rPr>
                <w:rFonts w:cstheme="minorHAnsi"/>
                <w:sz w:val="20"/>
                <w:szCs w:val="20"/>
              </w:rPr>
              <w:t>Mobiliser ses connaissances sur la relation nom des lettres/sons des lettres ou mémoriser les relations non connues.</w:t>
            </w:r>
          </w:p>
          <w:p w:rsidR="009A2C4F" w:rsidRPr="009A2C4F" w:rsidRDefault="009A2C4F" w:rsidP="006E704B">
            <w:pPr>
              <w:rPr>
                <w:rFonts w:ascii="Trebuchet MS" w:hAnsi="Trebuchet MS"/>
                <w:sz w:val="20"/>
                <w:szCs w:val="20"/>
              </w:rPr>
            </w:pPr>
            <w:r w:rsidRPr="007F2519">
              <w:rPr>
                <w:rFonts w:cstheme="minorHAnsi"/>
                <w:sz w:val="20"/>
                <w:szCs w:val="20"/>
              </w:rPr>
              <w:t>Se servir d’un référent alphabet.</w:t>
            </w:r>
          </w:p>
        </w:tc>
        <w:tc>
          <w:tcPr>
            <w:tcW w:w="1519" w:type="dxa"/>
          </w:tcPr>
          <w:p w:rsidR="000F0658" w:rsidRDefault="009A2C4F" w:rsidP="006E704B">
            <w:r>
              <w:t>Groupe classe</w:t>
            </w:r>
          </w:p>
          <w:p w:rsidR="001C15D7" w:rsidRDefault="001C15D7" w:rsidP="006E704B">
            <w:r>
              <w:t>Support A3 alphabet et personnel</w:t>
            </w:r>
          </w:p>
        </w:tc>
        <w:tc>
          <w:tcPr>
            <w:tcW w:w="3799" w:type="dxa"/>
          </w:tcPr>
          <w:p w:rsidR="000F0658" w:rsidRDefault="009A2C4F" w:rsidP="00FC01DB">
            <w:r>
              <w:t xml:space="preserve">Jeu de l’avion : chanter le son d’une lettre, la pointer sur un référent alphabet, nommer la lettre. </w:t>
            </w:r>
          </w:p>
          <w:p w:rsidR="009A2C4F" w:rsidRDefault="009A2C4F" w:rsidP="00FC01DB">
            <w:r>
              <w:t>Passer plusieurs fois sur les lettres qui serviront à écrire le mot choisi.</w:t>
            </w:r>
          </w:p>
          <w:p w:rsidR="001C15D7" w:rsidRDefault="001C15D7" w:rsidP="00FC01DB"/>
          <w:p w:rsidR="001C15D7" w:rsidRDefault="001C15D7" w:rsidP="00FC01DB">
            <w:r>
              <w:t>Réexpliquer que l’on peut utiliser la comptine de l’alphabet pour retrouver le nom d’une lettre</w:t>
            </w:r>
            <w:r w:rsidR="007F2519">
              <w:t xml:space="preserve"> si besoin.</w:t>
            </w:r>
          </w:p>
        </w:tc>
      </w:tr>
      <w:tr w:rsidR="009A2C4F" w:rsidTr="002C70E3">
        <w:trPr>
          <w:trHeight w:val="1750"/>
        </w:trPr>
        <w:tc>
          <w:tcPr>
            <w:tcW w:w="1828" w:type="dxa"/>
          </w:tcPr>
          <w:p w:rsidR="00FC01DB" w:rsidRDefault="009A2C4F" w:rsidP="006E704B">
            <w:r>
              <w:t>Phase 4 : préparation à l’écriture du mot</w:t>
            </w:r>
          </w:p>
        </w:tc>
        <w:tc>
          <w:tcPr>
            <w:tcW w:w="3452" w:type="dxa"/>
          </w:tcPr>
          <w:p w:rsidR="002C70E3" w:rsidRDefault="002C70E3" w:rsidP="006E704B">
            <w:r>
              <w:t>Segmenter les syllabes.</w:t>
            </w:r>
          </w:p>
          <w:p w:rsidR="00FC01DB" w:rsidRDefault="009A2C4F" w:rsidP="006E704B">
            <w:r>
              <w:t>Prolonger les phonèmes d’un mot</w:t>
            </w:r>
            <w:r w:rsidR="001C15D7">
              <w:t>.</w:t>
            </w:r>
          </w:p>
        </w:tc>
        <w:tc>
          <w:tcPr>
            <w:tcW w:w="1519" w:type="dxa"/>
          </w:tcPr>
          <w:p w:rsidR="00FC01DB" w:rsidRDefault="009A2C4F" w:rsidP="006E704B">
            <w:r>
              <w:t>Petit groupe</w:t>
            </w:r>
          </w:p>
        </w:tc>
        <w:tc>
          <w:tcPr>
            <w:tcW w:w="3799" w:type="dxa"/>
          </w:tcPr>
          <w:p w:rsidR="00322C96" w:rsidRDefault="00322C96" w:rsidP="00FC01DB">
            <w:r>
              <w:t>Présentation du personnage et de son prénom</w:t>
            </w:r>
            <w:r w:rsidR="007F2519">
              <w:t>/du mot et de son sens</w:t>
            </w:r>
          </w:p>
          <w:p w:rsidR="002C70E3" w:rsidRDefault="002C70E3" w:rsidP="00FC01DB">
            <w:r>
              <w:t xml:space="preserve">Faire segmenter les syllabes. Expliquer qu’il faudra d’abord écrire </w:t>
            </w:r>
            <w:r w:rsidR="007F2519">
              <w:t>(1</w:t>
            </w:r>
            <w:r w:rsidR="007F2519" w:rsidRPr="007F2519">
              <w:rPr>
                <w:vertAlign w:val="superscript"/>
              </w:rPr>
              <w:t>ère</w:t>
            </w:r>
            <w:r w:rsidR="007F2519">
              <w:t xml:space="preserve"> syllabe)</w:t>
            </w:r>
            <w:r>
              <w:t xml:space="preserve"> puis </w:t>
            </w:r>
            <w:r w:rsidR="007F2519">
              <w:t>(2</w:t>
            </w:r>
            <w:r w:rsidR="007F2519" w:rsidRPr="007F2519">
              <w:rPr>
                <w:vertAlign w:val="superscript"/>
              </w:rPr>
              <w:t>ème</w:t>
            </w:r>
            <w:r w:rsidR="007F2519">
              <w:t xml:space="preserve"> syllabe)</w:t>
            </w:r>
            <w:r>
              <w:t>.</w:t>
            </w:r>
          </w:p>
          <w:p w:rsidR="00FC01DB" w:rsidRDefault="009A2C4F" w:rsidP="00FC01DB">
            <w:r>
              <w:t>Amener les élèves à prolonger les mots comme un chewing-gum</w:t>
            </w:r>
          </w:p>
          <w:p w:rsidR="009A2C4F" w:rsidRDefault="009A2C4F" w:rsidP="00FC01DB">
            <w:r>
              <w:t>AAAAAVVVVVAAAAA</w:t>
            </w:r>
            <w:r w:rsidR="007F2519">
              <w:t>/AAAAMMMMIIII</w:t>
            </w:r>
          </w:p>
          <w:p w:rsidR="001C15D7" w:rsidRPr="00FC01DB" w:rsidRDefault="001C15D7" w:rsidP="00FC01DB">
            <w:r>
              <w:t xml:space="preserve">Expliquer que lorsqu’ils seront seuls ils pourront </w:t>
            </w:r>
            <w:r w:rsidR="00C822EC">
              <w:t xml:space="preserve">réutiliser </w:t>
            </w:r>
            <w:r w:rsidR="001B174F">
              <w:t>c</w:t>
            </w:r>
            <w:bookmarkStart w:id="0" w:name="_GoBack"/>
            <w:bookmarkEnd w:id="0"/>
            <w:r w:rsidR="00C822EC">
              <w:t>es actions pour bien entendre les sons</w:t>
            </w:r>
            <w:r>
              <w:t>.</w:t>
            </w:r>
          </w:p>
        </w:tc>
      </w:tr>
      <w:tr w:rsidR="009A2C4F" w:rsidTr="002C70E3">
        <w:trPr>
          <w:trHeight w:val="2073"/>
        </w:trPr>
        <w:tc>
          <w:tcPr>
            <w:tcW w:w="1828" w:type="dxa"/>
          </w:tcPr>
          <w:p w:rsidR="000F0658" w:rsidRDefault="001C15D7" w:rsidP="000B4C3E">
            <w:r>
              <w:t>Phase 5 : essais d’écriture, 1</w:t>
            </w:r>
            <w:r w:rsidRPr="001C15D7">
              <w:rPr>
                <w:vertAlign w:val="superscript"/>
              </w:rPr>
              <w:t>er</w:t>
            </w:r>
            <w:r>
              <w:t xml:space="preserve"> jet</w:t>
            </w:r>
          </w:p>
        </w:tc>
        <w:tc>
          <w:tcPr>
            <w:tcW w:w="3452" w:type="dxa"/>
          </w:tcPr>
          <w:p w:rsidR="000F0658" w:rsidRPr="001C15D7" w:rsidRDefault="001C15D7" w:rsidP="000B4C3E">
            <w:r w:rsidRPr="001C15D7">
              <w:t xml:space="preserve">Résoudre un problème : </w:t>
            </w:r>
            <w:r w:rsidR="001407C9">
              <w:t xml:space="preserve">écouter des phonèmes, </w:t>
            </w:r>
            <w:r w:rsidRPr="001C15D7">
              <w:t>encoder des phonèmes.</w:t>
            </w:r>
          </w:p>
        </w:tc>
        <w:tc>
          <w:tcPr>
            <w:tcW w:w="1519" w:type="dxa"/>
          </w:tcPr>
          <w:p w:rsidR="000F0658" w:rsidRDefault="001C15D7" w:rsidP="000B4C3E">
            <w:r>
              <w:t>Petit groupe</w:t>
            </w:r>
          </w:p>
          <w:p w:rsidR="001C15D7" w:rsidRDefault="001C15D7" w:rsidP="000B4C3E">
            <w:r>
              <w:t>Référent individuel</w:t>
            </w:r>
          </w:p>
          <w:p w:rsidR="001C15D7" w:rsidRDefault="001C15D7" w:rsidP="000B4C3E">
            <w:r>
              <w:t>Support pour l’écriture</w:t>
            </w:r>
          </w:p>
        </w:tc>
        <w:tc>
          <w:tcPr>
            <w:tcW w:w="3799" w:type="dxa"/>
          </w:tcPr>
          <w:p w:rsidR="000F0658" w:rsidRDefault="001C15D7" w:rsidP="000B4C3E">
            <w:r>
              <w:t xml:space="preserve">Inviter les enfants à choisir un endroit secret pour aller </w:t>
            </w:r>
            <w:r w:rsidR="007F2519">
              <w:t xml:space="preserve">écrire le mot annoncé : </w:t>
            </w:r>
            <w:r>
              <w:t>écouter les sons, réfléchir et écrire les lettres qui correspondent.</w:t>
            </w:r>
          </w:p>
        </w:tc>
      </w:tr>
      <w:tr w:rsidR="001C15D7" w:rsidTr="00815AAA">
        <w:trPr>
          <w:trHeight w:val="1118"/>
        </w:trPr>
        <w:tc>
          <w:tcPr>
            <w:tcW w:w="1828" w:type="dxa"/>
          </w:tcPr>
          <w:p w:rsidR="001C15D7" w:rsidRDefault="002C70E3" w:rsidP="000B4C3E">
            <w:bookmarkStart w:id="1" w:name="_Hlk61808584"/>
            <w:r>
              <w:lastRenderedPageBreak/>
              <w:t>Phase 6 : retour individuel</w:t>
            </w:r>
          </w:p>
        </w:tc>
        <w:tc>
          <w:tcPr>
            <w:tcW w:w="3452" w:type="dxa"/>
          </w:tcPr>
          <w:p w:rsidR="001407C9" w:rsidRDefault="001407C9" w:rsidP="000B4C3E">
            <w:r>
              <w:t xml:space="preserve">Expliciter </w:t>
            </w:r>
          </w:p>
          <w:p w:rsidR="002C70E3" w:rsidRDefault="00DB743E" w:rsidP="000B4C3E">
            <w:r>
              <w:t>É</w:t>
            </w:r>
            <w:r w:rsidR="002C70E3">
              <w:t>couter, prendre en compte</w:t>
            </w:r>
          </w:p>
          <w:p w:rsidR="002C70E3" w:rsidRPr="001C15D7" w:rsidRDefault="002C70E3" w:rsidP="00815AAA"/>
        </w:tc>
        <w:tc>
          <w:tcPr>
            <w:tcW w:w="1519" w:type="dxa"/>
          </w:tcPr>
          <w:p w:rsidR="001C15D7" w:rsidRDefault="002C70E3" w:rsidP="000B4C3E">
            <w:r>
              <w:t>Individuel</w:t>
            </w:r>
          </w:p>
        </w:tc>
        <w:tc>
          <w:tcPr>
            <w:tcW w:w="3799" w:type="dxa"/>
          </w:tcPr>
          <w:p w:rsidR="002C70E3" w:rsidRDefault="002C70E3" w:rsidP="000B4C3E">
            <w:r>
              <w:t xml:space="preserve">Lecture de ce qui est écrit. </w:t>
            </w:r>
          </w:p>
          <w:p w:rsidR="002C70E3" w:rsidRDefault="002C70E3" w:rsidP="000B4C3E">
            <w:r>
              <w:t>Valorisation</w:t>
            </w:r>
            <w:r w:rsidR="00322C96">
              <w:t xml:space="preserve"> des réussites (</w:t>
            </w:r>
            <w:proofErr w:type="spellStart"/>
            <w:r w:rsidR="00322C96">
              <w:t>cf.fiche</w:t>
            </w:r>
            <w:proofErr w:type="spellEnd"/>
            <w:r w:rsidR="00322C96">
              <w:t xml:space="preserve"> outil valorisation), </w:t>
            </w:r>
            <w:r>
              <w:t xml:space="preserve">faire expliciter les stratégies également, </w:t>
            </w:r>
            <w:r w:rsidR="00322C96">
              <w:t>expliciter les changements à opérer</w:t>
            </w:r>
            <w:r>
              <w:t>, introduction du code de correction.</w:t>
            </w:r>
          </w:p>
        </w:tc>
      </w:tr>
      <w:bookmarkEnd w:id="1"/>
      <w:tr w:rsidR="009A2C4F" w:rsidTr="002C70E3">
        <w:trPr>
          <w:trHeight w:val="699"/>
        </w:trPr>
        <w:tc>
          <w:tcPr>
            <w:tcW w:w="1828" w:type="dxa"/>
          </w:tcPr>
          <w:p w:rsidR="000F0658" w:rsidRDefault="001C15D7" w:rsidP="000F0658">
            <w:r>
              <w:t xml:space="preserve">Phase </w:t>
            </w:r>
            <w:r w:rsidR="002C70E3">
              <w:t>6</w:t>
            </w:r>
            <w:r>
              <w:t> : retour collectif</w:t>
            </w:r>
          </w:p>
        </w:tc>
        <w:tc>
          <w:tcPr>
            <w:tcW w:w="3452" w:type="dxa"/>
          </w:tcPr>
          <w:p w:rsidR="000F0658" w:rsidRPr="001C15D7" w:rsidRDefault="001C15D7" w:rsidP="000B4C3E">
            <w:r w:rsidRPr="001C15D7">
              <w:t xml:space="preserve">Repérer des similitudes entre les mots (lettres, lettre d’attaque…). Expliciter ses procédures. </w:t>
            </w:r>
          </w:p>
          <w:p w:rsidR="001C15D7" w:rsidRPr="00D953B7" w:rsidRDefault="00DB743E" w:rsidP="000B4C3E">
            <w:pPr>
              <w:rPr>
                <w:i/>
              </w:rPr>
            </w:pPr>
            <w:r>
              <w:t>Ê</w:t>
            </w:r>
            <w:r w:rsidR="001C15D7" w:rsidRPr="001C15D7">
              <w:t>tre à l’écoute des propositions.</w:t>
            </w:r>
          </w:p>
        </w:tc>
        <w:tc>
          <w:tcPr>
            <w:tcW w:w="1519" w:type="dxa"/>
          </w:tcPr>
          <w:p w:rsidR="000F0658" w:rsidRDefault="001C15D7" w:rsidP="000B4C3E">
            <w:r>
              <w:t>Petit groupe</w:t>
            </w:r>
          </w:p>
          <w:p w:rsidR="001C15D7" w:rsidRDefault="001C15D7" w:rsidP="000B4C3E">
            <w:r>
              <w:t>Propositions des élèves</w:t>
            </w:r>
          </w:p>
          <w:p w:rsidR="001C15D7" w:rsidRDefault="001C15D7" w:rsidP="000B4C3E"/>
        </w:tc>
        <w:tc>
          <w:tcPr>
            <w:tcW w:w="3799" w:type="dxa"/>
          </w:tcPr>
          <w:p w:rsidR="000F0658" w:rsidRDefault="001C15D7" w:rsidP="000F0658">
            <w:r>
              <w:t>Comparaison des propositions</w:t>
            </w:r>
            <w:r w:rsidR="001407C9">
              <w:t>.</w:t>
            </w:r>
          </w:p>
          <w:p w:rsidR="001C15D7" w:rsidRDefault="001C15D7" w:rsidP="000F0658">
            <w:r>
              <w:t>Mise en évidence des points communs</w:t>
            </w:r>
          </w:p>
          <w:p w:rsidR="001C15D7" w:rsidRDefault="001C15D7" w:rsidP="000F0658">
            <w:r>
              <w:t>Justification des élèves</w:t>
            </w:r>
          </w:p>
          <w:p w:rsidR="001C15D7" w:rsidRDefault="001C15D7" w:rsidP="000F0658">
            <w:r>
              <w:t>Mise en perspective pour le 2</w:t>
            </w:r>
            <w:r w:rsidRPr="001C15D7">
              <w:rPr>
                <w:vertAlign w:val="superscript"/>
              </w:rPr>
              <w:t>ème</w:t>
            </w:r>
            <w:r>
              <w:t xml:space="preserve"> jet : points de vigilance, apports</w:t>
            </w:r>
            <w:r w:rsidR="001407C9">
              <w:t xml:space="preserve"> des autres élèves et l’enseignant.</w:t>
            </w:r>
          </w:p>
        </w:tc>
      </w:tr>
      <w:tr w:rsidR="002C70E3" w:rsidTr="002C70E3">
        <w:trPr>
          <w:trHeight w:val="1382"/>
        </w:trPr>
        <w:tc>
          <w:tcPr>
            <w:tcW w:w="1828" w:type="dxa"/>
          </w:tcPr>
          <w:p w:rsidR="002C70E3" w:rsidRDefault="002C70E3" w:rsidP="002C70E3">
            <w:r>
              <w:t>Phase 7 : essais d’écriture, 2</w:t>
            </w:r>
            <w:r w:rsidR="00DB743E">
              <w:rPr>
                <w:vertAlign w:val="superscript"/>
              </w:rPr>
              <w:t>è</w:t>
            </w:r>
            <w:r>
              <w:rPr>
                <w:vertAlign w:val="superscript"/>
              </w:rPr>
              <w:t>me</w:t>
            </w:r>
            <w:r>
              <w:t xml:space="preserve"> jet</w:t>
            </w:r>
          </w:p>
        </w:tc>
        <w:tc>
          <w:tcPr>
            <w:tcW w:w="3452" w:type="dxa"/>
          </w:tcPr>
          <w:p w:rsidR="001407C9" w:rsidRDefault="002C70E3" w:rsidP="002C70E3">
            <w:r w:rsidRPr="001C15D7">
              <w:t>Résoudre un problème </w:t>
            </w:r>
            <w:r w:rsidR="001407C9">
              <w:t>en revenant sur son 1</w:t>
            </w:r>
            <w:r w:rsidR="001407C9" w:rsidRPr="001407C9">
              <w:rPr>
                <w:vertAlign w:val="superscript"/>
              </w:rPr>
              <w:t>er</w:t>
            </w:r>
            <w:r w:rsidR="001407C9">
              <w:t xml:space="preserve"> essai et en prenant en compte de nouveaux apports. </w:t>
            </w:r>
            <w:r w:rsidRPr="001C15D7">
              <w:t xml:space="preserve"> </w:t>
            </w:r>
          </w:p>
          <w:p w:rsidR="001407C9" w:rsidRDefault="001407C9" w:rsidP="002C70E3">
            <w:r>
              <w:t>Ecouter des phonèmes.</w:t>
            </w:r>
          </w:p>
          <w:p w:rsidR="002C70E3" w:rsidRPr="001C15D7" w:rsidRDefault="001407C9" w:rsidP="002C70E3">
            <w:r>
              <w:t>E</w:t>
            </w:r>
            <w:r w:rsidR="002C70E3" w:rsidRPr="001C15D7">
              <w:t>ncoder des phonèmes.</w:t>
            </w:r>
          </w:p>
        </w:tc>
        <w:tc>
          <w:tcPr>
            <w:tcW w:w="1519" w:type="dxa"/>
          </w:tcPr>
          <w:p w:rsidR="002C70E3" w:rsidRDefault="002C70E3" w:rsidP="002C70E3">
            <w:r>
              <w:t>Petit groupe</w:t>
            </w:r>
          </w:p>
          <w:p w:rsidR="002C70E3" w:rsidRDefault="002C70E3" w:rsidP="002C70E3">
            <w:r>
              <w:t>Référent individuel</w:t>
            </w:r>
          </w:p>
          <w:p w:rsidR="002C70E3" w:rsidRDefault="002C70E3" w:rsidP="002C70E3">
            <w:r>
              <w:t>Support pour l’écriture, case 2</w:t>
            </w:r>
          </w:p>
        </w:tc>
        <w:tc>
          <w:tcPr>
            <w:tcW w:w="3799" w:type="dxa"/>
          </w:tcPr>
          <w:p w:rsidR="002C70E3" w:rsidRDefault="001407C9" w:rsidP="002C70E3">
            <w:r w:rsidRPr="001407C9">
              <w:t>Inviter les enfants à choisir un endroit secret pour aller écrire le mot annoncé : écouter les sons, réfléchir et écrire les lettres qui correspondent.</w:t>
            </w:r>
          </w:p>
        </w:tc>
      </w:tr>
      <w:tr w:rsidR="002C70E3" w:rsidTr="00C822EC">
        <w:trPr>
          <w:trHeight w:val="3287"/>
        </w:trPr>
        <w:tc>
          <w:tcPr>
            <w:tcW w:w="1828" w:type="dxa"/>
          </w:tcPr>
          <w:p w:rsidR="002C70E3" w:rsidRDefault="002C70E3" w:rsidP="002C70E3">
            <w:r>
              <w:t>Phase 8 : retour individuel</w:t>
            </w:r>
            <w:r w:rsidR="00C822EC">
              <w:t xml:space="preserve"> et correction</w:t>
            </w:r>
          </w:p>
          <w:p w:rsidR="00C822EC" w:rsidRDefault="00C822EC" w:rsidP="002C70E3"/>
          <w:p w:rsidR="00C822EC" w:rsidRDefault="00C822EC" w:rsidP="002C70E3"/>
          <w:p w:rsidR="00C822EC" w:rsidRDefault="00C822EC" w:rsidP="002C70E3"/>
          <w:p w:rsidR="00C822EC" w:rsidRDefault="00C822EC" w:rsidP="002C70E3"/>
          <w:p w:rsidR="00C822EC" w:rsidRDefault="00C822EC" w:rsidP="002C70E3"/>
          <w:p w:rsidR="00C822EC" w:rsidRDefault="00C822EC" w:rsidP="002C70E3"/>
          <w:p w:rsidR="00C822EC" w:rsidRDefault="00C822EC" w:rsidP="00C822EC">
            <w:r>
              <w:t>Formalisation collective</w:t>
            </w:r>
          </w:p>
        </w:tc>
        <w:tc>
          <w:tcPr>
            <w:tcW w:w="3452" w:type="dxa"/>
          </w:tcPr>
          <w:p w:rsidR="002C70E3" w:rsidRPr="002C70E3" w:rsidRDefault="00DB743E" w:rsidP="002C70E3">
            <w:r>
              <w:t>É</w:t>
            </w:r>
            <w:r w:rsidR="002C70E3" w:rsidRPr="002C70E3">
              <w:t>couter, prendre en compte</w:t>
            </w:r>
          </w:p>
          <w:p w:rsidR="002C70E3" w:rsidRDefault="002C70E3" w:rsidP="002C70E3">
            <w:r w:rsidRPr="002C70E3">
              <w:t>Expliciter</w:t>
            </w:r>
          </w:p>
          <w:p w:rsidR="00C822EC" w:rsidRDefault="00C822EC" w:rsidP="002C70E3"/>
          <w:p w:rsidR="00C822EC" w:rsidRDefault="00C822EC" w:rsidP="002C70E3"/>
          <w:p w:rsidR="00C822EC" w:rsidRDefault="00C822EC" w:rsidP="002C70E3"/>
          <w:p w:rsidR="00C822EC" w:rsidRDefault="00C822EC" w:rsidP="002C70E3"/>
          <w:p w:rsidR="00C822EC" w:rsidRDefault="00C822EC" w:rsidP="002C70E3"/>
          <w:p w:rsidR="00C822EC" w:rsidRDefault="00C822EC" w:rsidP="002C70E3"/>
          <w:p w:rsidR="00C822EC" w:rsidRDefault="00C822EC" w:rsidP="002C70E3"/>
          <w:p w:rsidR="002C70E3" w:rsidRPr="002C70E3" w:rsidRDefault="00DB743E" w:rsidP="00C822EC">
            <w:r>
              <w:t>É</w:t>
            </w:r>
            <w:r w:rsidR="00C822EC">
              <w:t>couter, expliciter, prendre en compte</w:t>
            </w:r>
          </w:p>
        </w:tc>
        <w:tc>
          <w:tcPr>
            <w:tcW w:w="1519" w:type="dxa"/>
          </w:tcPr>
          <w:p w:rsidR="002C70E3" w:rsidRDefault="002C70E3" w:rsidP="002C70E3">
            <w:r w:rsidRPr="002C70E3">
              <w:t>Individuel</w:t>
            </w:r>
          </w:p>
          <w:p w:rsidR="00C822EC" w:rsidRDefault="00C822EC" w:rsidP="002C70E3"/>
          <w:p w:rsidR="00C822EC" w:rsidRDefault="00C822EC" w:rsidP="002C70E3"/>
          <w:p w:rsidR="00C822EC" w:rsidRDefault="00C822EC" w:rsidP="002C70E3"/>
          <w:p w:rsidR="00C822EC" w:rsidRDefault="00C822EC" w:rsidP="002C70E3"/>
          <w:p w:rsidR="00C822EC" w:rsidRDefault="00C822EC" w:rsidP="002C70E3"/>
          <w:p w:rsidR="00C822EC" w:rsidRDefault="00C822EC" w:rsidP="002C70E3"/>
          <w:p w:rsidR="00C822EC" w:rsidRDefault="00C822EC" w:rsidP="002C70E3"/>
          <w:p w:rsidR="00C822EC" w:rsidRDefault="00C822EC" w:rsidP="002C70E3"/>
          <w:p w:rsidR="00C822EC" w:rsidRDefault="00C822EC" w:rsidP="002C70E3">
            <w:r>
              <w:t>Groupe classe</w:t>
            </w:r>
          </w:p>
          <w:p w:rsidR="00C822EC" w:rsidRPr="002C70E3" w:rsidRDefault="00C822EC" w:rsidP="002C70E3">
            <w:r>
              <w:t>Support agrandi</w:t>
            </w:r>
          </w:p>
        </w:tc>
        <w:tc>
          <w:tcPr>
            <w:tcW w:w="3799" w:type="dxa"/>
          </w:tcPr>
          <w:p w:rsidR="002C70E3" w:rsidRPr="002C70E3" w:rsidRDefault="002C70E3" w:rsidP="002C70E3">
            <w:r w:rsidRPr="002C70E3">
              <w:t xml:space="preserve">Lecture de ce qui est écrit. </w:t>
            </w:r>
          </w:p>
          <w:p w:rsidR="002C70E3" w:rsidRDefault="002C70E3" w:rsidP="002C70E3">
            <w:r w:rsidRPr="002C70E3">
              <w:t>Valorisation (faire expliciter les stratégies également), poser l’écart</w:t>
            </w:r>
            <w:r w:rsidR="001407C9">
              <w:t>,</w:t>
            </w:r>
            <w:r w:rsidR="00C822EC">
              <w:t xml:space="preserve"> éc</w:t>
            </w:r>
            <w:r>
              <w:t>riture normée en explicitant (mot</w:t>
            </w:r>
            <w:r>
              <w:sym w:font="Wingdings" w:char="F0E0"/>
            </w:r>
            <w:r>
              <w:t>syllabe</w:t>
            </w:r>
            <w:r>
              <w:sym w:font="Wingdings" w:char="F0E0"/>
            </w:r>
            <w:r>
              <w:t>phonème et retour inverse phonèmes combinés</w:t>
            </w:r>
            <w:r>
              <w:sym w:font="Wingdings" w:char="F0E0"/>
            </w:r>
            <w:r>
              <w:t>syllabe</w:t>
            </w:r>
            <w:r>
              <w:sym w:font="Wingdings" w:char="F0E0"/>
            </w:r>
            <w:r>
              <w:t>mot).</w:t>
            </w:r>
          </w:p>
          <w:p w:rsidR="00C822EC" w:rsidRDefault="00C822EC" w:rsidP="002C70E3"/>
          <w:p w:rsidR="001407C9" w:rsidRDefault="001407C9" w:rsidP="002C70E3"/>
          <w:p w:rsidR="00C822EC" w:rsidRDefault="00C822EC" w:rsidP="002C70E3">
            <w:r>
              <w:t>Retour collectif, associer les élèves</w:t>
            </w:r>
            <w:r w:rsidR="001407C9">
              <w:t xml:space="preserve">. </w:t>
            </w:r>
          </w:p>
          <w:p w:rsidR="001407C9" w:rsidRPr="002C70E3" w:rsidRDefault="001407C9" w:rsidP="002C70E3"/>
        </w:tc>
      </w:tr>
      <w:tr w:rsidR="002C70E3" w:rsidTr="00815AAA">
        <w:trPr>
          <w:trHeight w:val="1222"/>
        </w:trPr>
        <w:tc>
          <w:tcPr>
            <w:tcW w:w="1828" w:type="dxa"/>
          </w:tcPr>
          <w:p w:rsidR="002C70E3" w:rsidRDefault="00C822EC" w:rsidP="002C70E3">
            <w:r>
              <w:t>Phase 9</w:t>
            </w:r>
          </w:p>
        </w:tc>
        <w:tc>
          <w:tcPr>
            <w:tcW w:w="3452" w:type="dxa"/>
          </w:tcPr>
          <w:p w:rsidR="002C70E3" w:rsidRPr="00C822EC" w:rsidRDefault="00C822EC" w:rsidP="002C70E3">
            <w:r w:rsidRPr="00C822EC">
              <w:t>Revenir sur ses réussites et difficultés</w:t>
            </w:r>
          </w:p>
        </w:tc>
        <w:tc>
          <w:tcPr>
            <w:tcW w:w="1519" w:type="dxa"/>
          </w:tcPr>
          <w:p w:rsidR="002C70E3" w:rsidRDefault="00C822EC" w:rsidP="002C70E3">
            <w:r>
              <w:t>Groupe classe</w:t>
            </w:r>
          </w:p>
          <w:p w:rsidR="00C822EC" w:rsidRDefault="00C822EC" w:rsidP="002C70E3">
            <w:r>
              <w:t>Petit carnet, feuille</w:t>
            </w:r>
          </w:p>
        </w:tc>
        <w:tc>
          <w:tcPr>
            <w:tcW w:w="3799" w:type="dxa"/>
          </w:tcPr>
          <w:p w:rsidR="00C822EC" w:rsidRDefault="00C822EC" w:rsidP="00815AAA">
            <w:r>
              <w:t xml:space="preserve">Amener les élèves à identifier les réussites et les difficultés. Compléter, mise en perspective de ce qu’il faudra travailler, où et comment on pourra le </w:t>
            </w:r>
            <w:r w:rsidR="001407C9">
              <w:t>travailler</w:t>
            </w:r>
            <w:r>
              <w:t>.</w:t>
            </w:r>
            <w:r w:rsidR="00815AAA">
              <w:t xml:space="preserve"> </w:t>
            </w:r>
            <w:r>
              <w:t>Le noter</w:t>
            </w:r>
            <w:r w:rsidR="001407C9">
              <w:t xml:space="preserve"> pour s’en souvenir et rendre visible les progrès ; pour orienter les élèves vers des tâches d’apprentissage en fonction des besoins.</w:t>
            </w:r>
          </w:p>
        </w:tc>
      </w:tr>
      <w:tr w:rsidR="002C70E3" w:rsidTr="002C70E3">
        <w:tc>
          <w:tcPr>
            <w:tcW w:w="1828" w:type="dxa"/>
          </w:tcPr>
          <w:p w:rsidR="002C70E3" w:rsidRDefault="00C822EC" w:rsidP="002C70E3">
            <w:r>
              <w:t>Phase 10</w:t>
            </w:r>
          </w:p>
        </w:tc>
        <w:tc>
          <w:tcPr>
            <w:tcW w:w="3452" w:type="dxa"/>
          </w:tcPr>
          <w:p w:rsidR="002C70E3" w:rsidRPr="00C822EC" w:rsidRDefault="00C822EC" w:rsidP="002C70E3">
            <w:r w:rsidRPr="00C822EC">
              <w:t>Verbaliser ce qui a été travaillé</w:t>
            </w:r>
          </w:p>
        </w:tc>
        <w:tc>
          <w:tcPr>
            <w:tcW w:w="1519" w:type="dxa"/>
          </w:tcPr>
          <w:p w:rsidR="002C70E3" w:rsidRDefault="00C822EC" w:rsidP="002C70E3">
            <w:r>
              <w:t>Groupe classe</w:t>
            </w:r>
          </w:p>
        </w:tc>
        <w:tc>
          <w:tcPr>
            <w:tcW w:w="3799" w:type="dxa"/>
          </w:tcPr>
          <w:p w:rsidR="002C70E3" w:rsidRDefault="00C822EC" w:rsidP="002C70E3">
            <w:r>
              <w:t>Qu’avons-nous fait ?</w:t>
            </w:r>
          </w:p>
          <w:p w:rsidR="00C822EC" w:rsidRDefault="00C822EC" w:rsidP="002C70E3">
            <w:r>
              <w:t xml:space="preserve">Qu’avons-nous appris ? </w:t>
            </w:r>
          </w:p>
        </w:tc>
      </w:tr>
    </w:tbl>
    <w:p w:rsidR="0044320A" w:rsidRDefault="0044320A" w:rsidP="00D953B7"/>
    <w:p w:rsidR="00C822EC" w:rsidRDefault="00C822EC" w:rsidP="00D953B7">
      <w:r>
        <w:t xml:space="preserve">Bilan : </w:t>
      </w:r>
    </w:p>
    <w:p w:rsidR="00DB743E" w:rsidRDefault="00DB743E" w:rsidP="00D953B7"/>
    <w:p w:rsidR="00DB743E" w:rsidRDefault="00DB743E" w:rsidP="00D953B7"/>
    <w:p w:rsidR="00DB743E" w:rsidRDefault="00DB743E" w:rsidP="00D953B7"/>
    <w:p w:rsidR="00DB743E" w:rsidRDefault="00DB743E" w:rsidP="00D953B7">
      <w:r>
        <w:t>Corpus : AVA, ALI, SAM, LOLA, LARA, MILO, MILA, AMIR, SALMA… (</w:t>
      </w:r>
      <w:proofErr w:type="spellStart"/>
      <w:proofErr w:type="gramStart"/>
      <w:r>
        <w:t>cf.progression</w:t>
      </w:r>
      <w:proofErr w:type="spellEnd"/>
      <w:proofErr w:type="gramEnd"/>
      <w:r>
        <w:t xml:space="preserve"> corpus de mots).</w:t>
      </w:r>
    </w:p>
    <w:p w:rsidR="001407C9" w:rsidRDefault="001407C9" w:rsidP="00D953B7">
      <w:r>
        <w:t>AMI, VIS…</w:t>
      </w:r>
    </w:p>
    <w:p w:rsidR="001407C9" w:rsidRDefault="001407C9" w:rsidP="00D953B7"/>
    <w:sectPr w:rsidR="001407C9" w:rsidSect="00B86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2F0" w:rsidRDefault="000D22F0" w:rsidP="00DB743E">
      <w:pPr>
        <w:spacing w:after="0" w:line="240" w:lineRule="auto"/>
      </w:pPr>
      <w:r>
        <w:separator/>
      </w:r>
    </w:p>
  </w:endnote>
  <w:endnote w:type="continuationSeparator" w:id="0">
    <w:p w:rsidR="000D22F0" w:rsidRDefault="000D22F0" w:rsidP="00DB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2F0" w:rsidRDefault="000D22F0" w:rsidP="00DB743E">
      <w:pPr>
        <w:spacing w:after="0" w:line="240" w:lineRule="auto"/>
      </w:pPr>
      <w:r>
        <w:separator/>
      </w:r>
    </w:p>
  </w:footnote>
  <w:footnote w:type="continuationSeparator" w:id="0">
    <w:p w:rsidR="000D22F0" w:rsidRDefault="000D22F0" w:rsidP="00DB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4518"/>
    <w:multiLevelType w:val="hybridMultilevel"/>
    <w:tmpl w:val="E0D855A0"/>
    <w:lvl w:ilvl="0" w:tplc="04CC6C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4532D"/>
    <w:multiLevelType w:val="hybridMultilevel"/>
    <w:tmpl w:val="DBE6904A"/>
    <w:lvl w:ilvl="0" w:tplc="04CC6C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47"/>
    <w:rsid w:val="000D22F0"/>
    <w:rsid w:val="000F0658"/>
    <w:rsid w:val="001407C9"/>
    <w:rsid w:val="001518E3"/>
    <w:rsid w:val="001B174F"/>
    <w:rsid w:val="001C15D7"/>
    <w:rsid w:val="002B7C48"/>
    <w:rsid w:val="002C70E3"/>
    <w:rsid w:val="00322C96"/>
    <w:rsid w:val="00417672"/>
    <w:rsid w:val="0044320A"/>
    <w:rsid w:val="005049A9"/>
    <w:rsid w:val="00515B47"/>
    <w:rsid w:val="0053322D"/>
    <w:rsid w:val="00557B5F"/>
    <w:rsid w:val="00565135"/>
    <w:rsid w:val="00687B6F"/>
    <w:rsid w:val="006B44C2"/>
    <w:rsid w:val="00725484"/>
    <w:rsid w:val="007C6FE9"/>
    <w:rsid w:val="007F2519"/>
    <w:rsid w:val="00815AAA"/>
    <w:rsid w:val="0086413F"/>
    <w:rsid w:val="009A2C4F"/>
    <w:rsid w:val="00AE2642"/>
    <w:rsid w:val="00B86C68"/>
    <w:rsid w:val="00C01001"/>
    <w:rsid w:val="00C822EC"/>
    <w:rsid w:val="00D16581"/>
    <w:rsid w:val="00D953B7"/>
    <w:rsid w:val="00DB743E"/>
    <w:rsid w:val="00DC341D"/>
    <w:rsid w:val="00E757CC"/>
    <w:rsid w:val="00E80F01"/>
    <w:rsid w:val="00FC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49DB"/>
  <w15:docId w15:val="{26DBEFF8-E6EA-4696-B299-35CABBE8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0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43E"/>
  </w:style>
  <w:style w:type="paragraph" w:styleId="Pieddepage">
    <w:name w:val="footer"/>
    <w:basedOn w:val="Normal"/>
    <w:link w:val="PieddepageCar"/>
    <w:uiPriority w:val="99"/>
    <w:unhideWhenUsed/>
    <w:rsid w:val="00DB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Stephanie Bocquiault-Boulay</cp:lastModifiedBy>
  <cp:revision>2</cp:revision>
  <cp:lastPrinted>2022-01-17T08:55:00Z</cp:lastPrinted>
  <dcterms:created xsi:type="dcterms:W3CDTF">2022-01-17T08:56:00Z</dcterms:created>
  <dcterms:modified xsi:type="dcterms:W3CDTF">2022-01-17T08:56:00Z</dcterms:modified>
</cp:coreProperties>
</file>